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B0D55" w:rsidRPr="008A3D8E" w:rsidP="00CB0D55">
      <w:pPr>
        <w:pStyle w:val="Default"/>
        <w:rPr>
          <w:color w:val="0070C0"/>
          <w:sz w:val="28"/>
          <w:szCs w:val="28"/>
        </w:rPr>
      </w:pPr>
      <w:r w:rsidRPr="008A3D8E">
        <w:rPr>
          <w:color w:val="0070C0"/>
          <w:sz w:val="28"/>
          <w:szCs w:val="28"/>
        </w:rPr>
        <w:t>South Ribble Council – LGA Peer Challenge Action Plan – 2021/22</w:t>
      </w:r>
    </w:p>
    <w:p w:rsidR="008A3D8E" w:rsidP="00CB0D55">
      <w:pPr>
        <w:pStyle w:val="Default"/>
        <w:rPr>
          <w:b/>
          <w:bCs/>
          <w:sz w:val="23"/>
          <w:szCs w:val="23"/>
        </w:rPr>
      </w:pPr>
    </w:p>
    <w:p w:rsidR="008A3D8E" w:rsidP="00CB0D55">
      <w:pPr>
        <w:pStyle w:val="Default"/>
        <w:rPr>
          <w:b/>
          <w:bCs/>
          <w:sz w:val="23"/>
          <w:szCs w:val="23"/>
        </w:rPr>
      </w:pPr>
      <w:r>
        <w:rPr>
          <w:b/>
          <w:bCs/>
          <w:sz w:val="23"/>
          <w:szCs w:val="23"/>
        </w:rPr>
        <w:t>All actions to be owned by Senior Management Team</w:t>
      </w:r>
    </w:p>
    <w:p w:rsidR="008A3D8E" w:rsidP="00CB0D55">
      <w:pPr>
        <w:pStyle w:val="Default"/>
        <w:rPr>
          <w:b/>
          <w:bCs/>
          <w:sz w:val="23"/>
          <w:szCs w:val="23"/>
        </w:rPr>
      </w:pPr>
    </w:p>
    <w:p w:rsidR="008A3D8E" w:rsidP="00CB0D55">
      <w:pPr>
        <w:pStyle w:val="Default"/>
        <w:rPr>
          <w:b/>
          <w:bCs/>
          <w:sz w:val="23"/>
          <w:szCs w:val="23"/>
        </w:rPr>
      </w:pPr>
    </w:p>
    <w:tbl>
      <w:tblPr>
        <w:tblStyle w:val="TableGrid"/>
        <w:tblW w:w="15388" w:type="dxa"/>
        <w:tblLook w:val="04A0"/>
      </w:tblPr>
      <w:tblGrid>
        <w:gridCol w:w="2146"/>
        <w:gridCol w:w="5646"/>
        <w:gridCol w:w="5386"/>
        <w:gridCol w:w="2210"/>
      </w:tblGrid>
      <w:tr w:rsidTr="00AB5CBC">
        <w:tblPrEx>
          <w:tblW w:w="15388" w:type="dxa"/>
          <w:tblLook w:val="04A0"/>
        </w:tblPrEx>
        <w:trPr>
          <w:trHeight w:val="564"/>
        </w:trPr>
        <w:tc>
          <w:tcPr>
            <w:tcW w:w="2146" w:type="dxa"/>
            <w:shd w:val="clear" w:color="auto" w:fill="0070C0"/>
            <w:vAlign w:val="center"/>
          </w:tcPr>
          <w:p w:rsidR="008A3D8E" w:rsidRPr="00AB5CBC" w:rsidP="008A3D8E">
            <w:pPr>
              <w:pStyle w:val="Default"/>
              <w:jc w:val="center"/>
              <w:rPr>
                <w:b/>
                <w:bCs/>
                <w:color w:val="FFFFFF" w:themeColor="background1"/>
                <w:sz w:val="23"/>
                <w:szCs w:val="23"/>
              </w:rPr>
            </w:pPr>
            <w:r w:rsidRPr="00AB5CBC">
              <w:rPr>
                <w:b/>
                <w:bCs/>
                <w:color w:val="FFFFFF" w:themeColor="background1"/>
                <w:sz w:val="23"/>
                <w:szCs w:val="23"/>
              </w:rPr>
              <w:t>Recommendation</w:t>
            </w:r>
          </w:p>
        </w:tc>
        <w:tc>
          <w:tcPr>
            <w:tcW w:w="5646" w:type="dxa"/>
            <w:shd w:val="clear" w:color="auto" w:fill="0070C0"/>
            <w:vAlign w:val="center"/>
          </w:tcPr>
          <w:p w:rsidR="008A3D8E" w:rsidRPr="00AB5CBC" w:rsidP="008A3D8E">
            <w:pPr>
              <w:pStyle w:val="Default"/>
              <w:jc w:val="center"/>
              <w:rPr>
                <w:b/>
                <w:bCs/>
                <w:color w:val="FFFFFF" w:themeColor="background1"/>
                <w:sz w:val="23"/>
                <w:szCs w:val="23"/>
              </w:rPr>
            </w:pPr>
            <w:r w:rsidRPr="00AB5CBC">
              <w:rPr>
                <w:b/>
                <w:bCs/>
                <w:color w:val="FFFFFF" w:themeColor="background1"/>
                <w:sz w:val="23"/>
                <w:szCs w:val="23"/>
              </w:rPr>
              <w:t>Description</w:t>
            </w:r>
          </w:p>
        </w:tc>
        <w:tc>
          <w:tcPr>
            <w:tcW w:w="5386" w:type="dxa"/>
            <w:shd w:val="clear" w:color="auto" w:fill="0070C0"/>
            <w:vAlign w:val="center"/>
          </w:tcPr>
          <w:p w:rsidR="008A3D8E" w:rsidRPr="00AB5CBC" w:rsidP="008A3D8E">
            <w:pPr>
              <w:pStyle w:val="Default"/>
              <w:jc w:val="center"/>
              <w:rPr>
                <w:b/>
                <w:bCs/>
                <w:color w:val="FFFFFF" w:themeColor="background1"/>
                <w:sz w:val="23"/>
                <w:szCs w:val="23"/>
              </w:rPr>
            </w:pPr>
            <w:r w:rsidRPr="00AB5CBC">
              <w:rPr>
                <w:b/>
                <w:bCs/>
                <w:color w:val="FFFFFF" w:themeColor="background1"/>
                <w:sz w:val="23"/>
                <w:szCs w:val="23"/>
              </w:rPr>
              <w:t>Action</w:t>
            </w:r>
          </w:p>
        </w:tc>
        <w:tc>
          <w:tcPr>
            <w:tcW w:w="2210" w:type="dxa"/>
            <w:shd w:val="clear" w:color="auto" w:fill="0070C0"/>
            <w:vAlign w:val="center"/>
          </w:tcPr>
          <w:p w:rsidR="008A3D8E" w:rsidRPr="00AB5CBC" w:rsidP="008A3D8E">
            <w:pPr>
              <w:pStyle w:val="Default"/>
              <w:jc w:val="center"/>
              <w:rPr>
                <w:b/>
                <w:bCs/>
                <w:color w:val="FFFFFF" w:themeColor="background1"/>
                <w:sz w:val="23"/>
                <w:szCs w:val="23"/>
              </w:rPr>
            </w:pPr>
            <w:r w:rsidRPr="00AB5CBC">
              <w:rPr>
                <w:b/>
                <w:bCs/>
                <w:color w:val="FFFFFF" w:themeColor="background1"/>
                <w:sz w:val="23"/>
                <w:szCs w:val="23"/>
              </w:rPr>
              <w:t>Timescale</w:t>
            </w:r>
          </w:p>
        </w:tc>
      </w:tr>
      <w:tr w:rsidTr="00CB10B4">
        <w:tblPrEx>
          <w:tblW w:w="15388" w:type="dxa"/>
          <w:tblLook w:val="04A0"/>
        </w:tblPrEx>
        <w:trPr>
          <w:trHeight w:val="1693"/>
        </w:trPr>
        <w:tc>
          <w:tcPr>
            <w:tcW w:w="2146" w:type="dxa"/>
          </w:tcPr>
          <w:p w:rsidR="008A3D8E" w:rsidP="00CB10B4">
            <w:pPr>
              <w:pStyle w:val="Default"/>
              <w:rPr>
                <w:b/>
                <w:bCs/>
                <w:sz w:val="23"/>
                <w:szCs w:val="23"/>
              </w:rPr>
            </w:pPr>
            <w:r>
              <w:rPr>
                <w:b/>
                <w:bCs/>
                <w:sz w:val="23"/>
                <w:szCs w:val="23"/>
              </w:rPr>
              <w:t>1: Embed a culture of good governance</w:t>
            </w:r>
          </w:p>
        </w:tc>
        <w:tc>
          <w:tcPr>
            <w:tcW w:w="5646" w:type="dxa"/>
          </w:tcPr>
          <w:p w:rsidR="008A3D8E" w:rsidP="00CB10B4">
            <w:pPr>
              <w:pStyle w:val="Default"/>
              <w:rPr>
                <w:sz w:val="23"/>
                <w:szCs w:val="23"/>
              </w:rPr>
            </w:pPr>
            <w:r>
              <w:rPr>
                <w:sz w:val="23"/>
                <w:szCs w:val="23"/>
              </w:rPr>
              <w:t xml:space="preserve">SRBC need to build on their momentum and progress regarding governance. This includes ensuring that their existing reforms have embedded within the organisation’s processes, practice, and culture, as well as considering further areas that may not currently be within the scope of the Council’s existing action plan. </w:t>
            </w:r>
          </w:p>
          <w:p w:rsidR="008A3D8E" w:rsidP="00CB10B4">
            <w:pPr>
              <w:pStyle w:val="Default"/>
              <w:rPr>
                <w:b/>
                <w:bCs/>
                <w:sz w:val="23"/>
                <w:szCs w:val="23"/>
              </w:rPr>
            </w:pPr>
          </w:p>
        </w:tc>
        <w:tc>
          <w:tcPr>
            <w:tcW w:w="5386" w:type="dxa"/>
          </w:tcPr>
          <w:p w:rsidR="008A3D8E" w:rsidP="003327E5">
            <w:pPr>
              <w:pStyle w:val="Default"/>
              <w:numPr>
                <w:ilvl w:val="0"/>
                <w:numId w:val="1"/>
              </w:numPr>
              <w:ind w:left="600" w:hanging="425"/>
              <w:rPr>
                <w:sz w:val="23"/>
                <w:szCs w:val="23"/>
              </w:rPr>
            </w:pPr>
            <w:r w:rsidRPr="00FD7920">
              <w:rPr>
                <w:sz w:val="23"/>
                <w:szCs w:val="23"/>
              </w:rPr>
              <w:t>Review and refresh the governance action plan</w:t>
            </w:r>
            <w:r w:rsidR="007A584D">
              <w:rPr>
                <w:sz w:val="23"/>
                <w:szCs w:val="23"/>
              </w:rPr>
              <w:t xml:space="preserve"> alongside the production of service assurance statements</w:t>
            </w:r>
          </w:p>
          <w:p w:rsidR="003327E5" w:rsidRPr="00FD7920" w:rsidP="003327E5">
            <w:pPr>
              <w:pStyle w:val="Default"/>
              <w:ind w:left="600" w:hanging="425"/>
              <w:rPr>
                <w:sz w:val="23"/>
                <w:szCs w:val="23"/>
              </w:rPr>
            </w:pPr>
          </w:p>
          <w:p w:rsidR="008A3D8E" w:rsidP="003327E5">
            <w:pPr>
              <w:pStyle w:val="Default"/>
              <w:numPr>
                <w:ilvl w:val="0"/>
                <w:numId w:val="1"/>
              </w:numPr>
              <w:ind w:left="600" w:hanging="425"/>
              <w:rPr>
                <w:sz w:val="23"/>
                <w:szCs w:val="23"/>
              </w:rPr>
            </w:pPr>
            <w:r w:rsidRPr="00FD7920">
              <w:rPr>
                <w:sz w:val="23"/>
                <w:szCs w:val="23"/>
              </w:rPr>
              <w:t xml:space="preserve">Monitor progress through the Corporate Governance Committee </w:t>
            </w:r>
          </w:p>
          <w:p w:rsidR="003327E5" w:rsidRPr="00FD7920" w:rsidP="003327E5">
            <w:pPr>
              <w:pStyle w:val="Default"/>
              <w:ind w:left="600" w:hanging="425"/>
              <w:rPr>
                <w:sz w:val="23"/>
                <w:szCs w:val="23"/>
              </w:rPr>
            </w:pPr>
          </w:p>
          <w:p w:rsidR="008A3D8E" w:rsidP="003327E5">
            <w:pPr>
              <w:pStyle w:val="Default"/>
              <w:numPr>
                <w:ilvl w:val="0"/>
                <w:numId w:val="1"/>
              </w:numPr>
              <w:ind w:left="600" w:hanging="425"/>
              <w:rPr>
                <w:sz w:val="23"/>
                <w:szCs w:val="23"/>
              </w:rPr>
            </w:pPr>
            <w:r w:rsidRPr="00FD7920">
              <w:rPr>
                <w:sz w:val="23"/>
                <w:szCs w:val="23"/>
              </w:rPr>
              <w:t>Refresh governance training and support for staff and new starters</w:t>
            </w:r>
          </w:p>
          <w:p w:rsidR="003327E5" w:rsidP="003327E5">
            <w:pPr>
              <w:pStyle w:val="Default"/>
              <w:ind w:left="600" w:hanging="425"/>
              <w:rPr>
                <w:sz w:val="23"/>
                <w:szCs w:val="23"/>
              </w:rPr>
            </w:pPr>
          </w:p>
          <w:p w:rsidR="007A584D" w:rsidRPr="00FD7920" w:rsidP="003327E5">
            <w:pPr>
              <w:pStyle w:val="Default"/>
              <w:numPr>
                <w:ilvl w:val="0"/>
                <w:numId w:val="1"/>
              </w:numPr>
              <w:ind w:left="600" w:hanging="425"/>
              <w:rPr>
                <w:sz w:val="23"/>
                <w:szCs w:val="23"/>
              </w:rPr>
            </w:pPr>
            <w:r>
              <w:rPr>
                <w:sz w:val="23"/>
                <w:szCs w:val="23"/>
              </w:rPr>
              <w:t xml:space="preserve">Build awareness and strong governance culture through the </w:t>
            </w:r>
            <w:r w:rsidR="00F73F16">
              <w:rPr>
                <w:sz w:val="23"/>
                <w:szCs w:val="23"/>
              </w:rPr>
              <w:t>‘P</w:t>
            </w:r>
            <w:r>
              <w:rPr>
                <w:sz w:val="23"/>
                <w:szCs w:val="23"/>
              </w:rPr>
              <w:t xml:space="preserve">assport to </w:t>
            </w:r>
            <w:r w:rsidR="00F73F16">
              <w:rPr>
                <w:sz w:val="23"/>
                <w:szCs w:val="23"/>
              </w:rPr>
              <w:t>People M</w:t>
            </w:r>
            <w:r>
              <w:rPr>
                <w:sz w:val="23"/>
                <w:szCs w:val="23"/>
              </w:rPr>
              <w:t>anagement</w:t>
            </w:r>
            <w:r w:rsidR="00F73F16">
              <w:rPr>
                <w:sz w:val="23"/>
                <w:szCs w:val="23"/>
              </w:rPr>
              <w:t>’</w:t>
            </w:r>
            <w:r>
              <w:rPr>
                <w:sz w:val="23"/>
                <w:szCs w:val="23"/>
              </w:rPr>
              <w:t xml:space="preserve"> </w:t>
            </w:r>
            <w:r w:rsidR="00E017EF">
              <w:rPr>
                <w:sz w:val="23"/>
                <w:szCs w:val="23"/>
              </w:rPr>
              <w:t>course</w:t>
            </w:r>
            <w:r w:rsidR="00F73F16">
              <w:rPr>
                <w:sz w:val="23"/>
                <w:szCs w:val="23"/>
              </w:rPr>
              <w:t xml:space="preserve">  to</w:t>
            </w:r>
            <w:r w:rsidR="00F73F16">
              <w:rPr>
                <w:sz w:val="23"/>
                <w:szCs w:val="23"/>
              </w:rPr>
              <w:t xml:space="preserve"> be completed by all managers</w:t>
            </w:r>
          </w:p>
          <w:p w:rsidR="008A3D8E" w:rsidP="003327E5">
            <w:pPr>
              <w:pStyle w:val="Default"/>
              <w:ind w:left="600" w:hanging="425"/>
              <w:rPr>
                <w:b/>
                <w:bCs/>
                <w:sz w:val="23"/>
                <w:szCs w:val="23"/>
              </w:rPr>
            </w:pPr>
          </w:p>
        </w:tc>
        <w:tc>
          <w:tcPr>
            <w:tcW w:w="2210" w:type="dxa"/>
          </w:tcPr>
          <w:p w:rsidR="008A3D8E" w:rsidP="00CB10B4">
            <w:pPr>
              <w:pStyle w:val="Default"/>
              <w:rPr>
                <w:sz w:val="23"/>
                <w:szCs w:val="23"/>
              </w:rPr>
            </w:pPr>
            <w:r>
              <w:rPr>
                <w:sz w:val="23"/>
                <w:szCs w:val="23"/>
              </w:rPr>
              <w:t xml:space="preserve">By </w:t>
            </w:r>
            <w:r w:rsidR="007A584D">
              <w:rPr>
                <w:sz w:val="23"/>
                <w:szCs w:val="23"/>
              </w:rPr>
              <w:t xml:space="preserve">March </w:t>
            </w:r>
            <w:r>
              <w:rPr>
                <w:sz w:val="23"/>
                <w:szCs w:val="23"/>
              </w:rPr>
              <w:t>2022</w:t>
            </w:r>
          </w:p>
          <w:p w:rsidR="007A584D" w:rsidP="00CB10B4">
            <w:pPr>
              <w:pStyle w:val="Default"/>
              <w:rPr>
                <w:sz w:val="23"/>
                <w:szCs w:val="23"/>
              </w:rPr>
            </w:pPr>
          </w:p>
          <w:p w:rsidR="003327E5" w:rsidP="00CB10B4">
            <w:pPr>
              <w:pStyle w:val="Default"/>
              <w:rPr>
                <w:sz w:val="23"/>
                <w:szCs w:val="23"/>
              </w:rPr>
            </w:pPr>
          </w:p>
          <w:p w:rsidR="003327E5" w:rsidP="00CB10B4">
            <w:pPr>
              <w:pStyle w:val="Default"/>
              <w:rPr>
                <w:sz w:val="23"/>
                <w:szCs w:val="23"/>
              </w:rPr>
            </w:pPr>
          </w:p>
          <w:p w:rsidR="007A584D" w:rsidP="00CB10B4">
            <w:pPr>
              <w:pStyle w:val="Default"/>
              <w:rPr>
                <w:sz w:val="23"/>
                <w:szCs w:val="23"/>
              </w:rPr>
            </w:pPr>
            <w:r>
              <w:rPr>
                <w:sz w:val="23"/>
                <w:szCs w:val="23"/>
              </w:rPr>
              <w:t>Ongoing</w:t>
            </w:r>
          </w:p>
          <w:p w:rsidR="007A584D" w:rsidP="00CB10B4">
            <w:pPr>
              <w:pStyle w:val="Default"/>
              <w:rPr>
                <w:sz w:val="23"/>
                <w:szCs w:val="23"/>
              </w:rPr>
            </w:pPr>
          </w:p>
          <w:p w:rsidR="003327E5" w:rsidP="00CB10B4">
            <w:pPr>
              <w:pStyle w:val="Default"/>
              <w:rPr>
                <w:sz w:val="23"/>
                <w:szCs w:val="23"/>
              </w:rPr>
            </w:pPr>
          </w:p>
          <w:p w:rsidR="007A584D" w:rsidP="00CB10B4">
            <w:pPr>
              <w:pStyle w:val="Default"/>
              <w:rPr>
                <w:sz w:val="23"/>
                <w:szCs w:val="23"/>
              </w:rPr>
            </w:pPr>
            <w:r>
              <w:rPr>
                <w:sz w:val="23"/>
                <w:szCs w:val="23"/>
              </w:rPr>
              <w:t>By January 2022</w:t>
            </w:r>
          </w:p>
          <w:p w:rsidR="00E017EF" w:rsidP="00CB10B4">
            <w:pPr>
              <w:pStyle w:val="Default"/>
              <w:rPr>
                <w:sz w:val="23"/>
                <w:szCs w:val="23"/>
              </w:rPr>
            </w:pPr>
          </w:p>
          <w:p w:rsidR="003327E5" w:rsidP="00CB10B4">
            <w:pPr>
              <w:pStyle w:val="Default"/>
              <w:rPr>
                <w:sz w:val="23"/>
                <w:szCs w:val="23"/>
              </w:rPr>
            </w:pPr>
          </w:p>
          <w:p w:rsidR="00E017EF" w:rsidRPr="00FD7920" w:rsidP="00CB10B4">
            <w:pPr>
              <w:pStyle w:val="Default"/>
              <w:rPr>
                <w:sz w:val="23"/>
                <w:szCs w:val="23"/>
              </w:rPr>
            </w:pPr>
            <w:r>
              <w:rPr>
                <w:sz w:val="23"/>
                <w:szCs w:val="23"/>
              </w:rPr>
              <w:t>By April 2022</w:t>
            </w:r>
          </w:p>
        </w:tc>
      </w:tr>
      <w:tr w:rsidTr="00CB10B4">
        <w:tblPrEx>
          <w:tblW w:w="15388" w:type="dxa"/>
          <w:tblLook w:val="04A0"/>
        </w:tblPrEx>
        <w:trPr>
          <w:trHeight w:val="2905"/>
        </w:trPr>
        <w:tc>
          <w:tcPr>
            <w:tcW w:w="2146" w:type="dxa"/>
          </w:tcPr>
          <w:p w:rsidR="008A3D8E" w:rsidP="00CB10B4">
            <w:pPr>
              <w:pStyle w:val="Default"/>
              <w:rPr>
                <w:b/>
                <w:bCs/>
                <w:sz w:val="23"/>
                <w:szCs w:val="23"/>
              </w:rPr>
            </w:pPr>
            <w:r>
              <w:rPr>
                <w:b/>
                <w:bCs/>
                <w:sz w:val="23"/>
                <w:szCs w:val="23"/>
              </w:rPr>
              <w:t>2: Provide full clarity on the ambition and plans for shared services</w:t>
            </w:r>
          </w:p>
        </w:tc>
        <w:tc>
          <w:tcPr>
            <w:tcW w:w="5646" w:type="dxa"/>
          </w:tcPr>
          <w:p w:rsidR="008A3D8E" w:rsidRPr="00262E52" w:rsidP="00CB10B4">
            <w:pPr>
              <w:pStyle w:val="Default"/>
              <w:rPr>
                <w:sz w:val="16"/>
                <w:szCs w:val="16"/>
              </w:rPr>
            </w:pPr>
            <w:r>
              <w:rPr>
                <w:sz w:val="23"/>
                <w:szCs w:val="23"/>
              </w:rPr>
              <w:t xml:space="preserve">One of the strongest themes to emerge during this peer review was the shared services arrangement with Chorley Council. It is the view of the peer team that the Council needs to be clearer on the over-arching vision, aims and timescales relating to shared </w:t>
            </w:r>
            <w:r>
              <w:rPr>
                <w:color w:val="auto"/>
                <w:sz w:val="23"/>
                <w:szCs w:val="23"/>
              </w:rPr>
              <w:t xml:space="preserve">services including the processes that will be used to achieve these. This presents the opportunity to build on the progress that SRBC have made on shared services to-date and generate further staff support for future phases. This issue was also highlighted in the LGA revisit to SRBC following their 2017 Corporate Peer Challenge. </w:t>
            </w:r>
          </w:p>
          <w:p w:rsidR="008A3D8E" w:rsidP="00CB10B4">
            <w:pPr>
              <w:pStyle w:val="Default"/>
              <w:rPr>
                <w:b/>
                <w:bCs/>
                <w:sz w:val="23"/>
                <w:szCs w:val="23"/>
              </w:rPr>
            </w:pPr>
          </w:p>
        </w:tc>
        <w:tc>
          <w:tcPr>
            <w:tcW w:w="5386" w:type="dxa"/>
          </w:tcPr>
          <w:p w:rsidR="008A3D8E" w:rsidRPr="00FD7920" w:rsidP="003327E5">
            <w:pPr>
              <w:pStyle w:val="Default"/>
              <w:numPr>
                <w:ilvl w:val="0"/>
                <w:numId w:val="2"/>
              </w:numPr>
              <w:ind w:left="600" w:hanging="425"/>
              <w:rPr>
                <w:sz w:val="23"/>
                <w:szCs w:val="23"/>
              </w:rPr>
            </w:pPr>
            <w:r w:rsidRPr="00FD7920">
              <w:rPr>
                <w:sz w:val="23"/>
                <w:szCs w:val="23"/>
              </w:rPr>
              <w:t>Engage political leadership at both councils to determine the aspirations for future shared services</w:t>
            </w:r>
          </w:p>
          <w:p w:rsidR="008A3D8E" w:rsidRPr="00FD7920" w:rsidP="003327E5">
            <w:pPr>
              <w:pStyle w:val="Default"/>
              <w:numPr>
                <w:ilvl w:val="0"/>
                <w:numId w:val="2"/>
              </w:numPr>
              <w:ind w:left="600" w:hanging="425"/>
              <w:rPr>
                <w:sz w:val="23"/>
                <w:szCs w:val="23"/>
              </w:rPr>
            </w:pPr>
            <w:r w:rsidRPr="00FD7920">
              <w:rPr>
                <w:sz w:val="23"/>
                <w:szCs w:val="23"/>
              </w:rPr>
              <w:t xml:space="preserve">Maintain effective internal communication around future changes </w:t>
            </w:r>
            <w:r w:rsidR="006B491C">
              <w:rPr>
                <w:sz w:val="23"/>
                <w:szCs w:val="23"/>
              </w:rPr>
              <w:t>and develop a specific comms plan for future change if appropriate</w:t>
            </w:r>
          </w:p>
          <w:p w:rsidR="008A3D8E" w:rsidP="003327E5">
            <w:pPr>
              <w:pStyle w:val="Default"/>
              <w:numPr>
                <w:ilvl w:val="0"/>
                <w:numId w:val="2"/>
              </w:numPr>
              <w:ind w:left="600" w:hanging="425"/>
              <w:rPr>
                <w:b/>
                <w:bCs/>
                <w:sz w:val="23"/>
                <w:szCs w:val="23"/>
              </w:rPr>
            </w:pPr>
            <w:r w:rsidRPr="00FD7920">
              <w:rPr>
                <w:sz w:val="23"/>
                <w:szCs w:val="23"/>
              </w:rPr>
              <w:t>Consolidate phase 1 and 2 shared services by delivering the service development plans and completing benefits realisation</w:t>
            </w:r>
          </w:p>
        </w:tc>
        <w:tc>
          <w:tcPr>
            <w:tcW w:w="2210" w:type="dxa"/>
          </w:tcPr>
          <w:p w:rsidR="008A3D8E" w:rsidP="00CB10B4">
            <w:pPr>
              <w:pStyle w:val="Default"/>
              <w:rPr>
                <w:sz w:val="23"/>
                <w:szCs w:val="23"/>
              </w:rPr>
            </w:pPr>
            <w:r>
              <w:rPr>
                <w:sz w:val="23"/>
                <w:szCs w:val="23"/>
              </w:rPr>
              <w:t>By November 2021</w:t>
            </w:r>
          </w:p>
          <w:p w:rsidR="008A3D8E" w:rsidP="00CB10B4">
            <w:pPr>
              <w:pStyle w:val="Default"/>
              <w:rPr>
                <w:sz w:val="23"/>
                <w:szCs w:val="23"/>
              </w:rPr>
            </w:pPr>
          </w:p>
          <w:p w:rsidR="008A3D8E" w:rsidP="00CB10B4">
            <w:pPr>
              <w:pStyle w:val="Default"/>
              <w:rPr>
                <w:sz w:val="23"/>
                <w:szCs w:val="23"/>
              </w:rPr>
            </w:pPr>
          </w:p>
          <w:p w:rsidR="008A3D8E" w:rsidP="00CB10B4">
            <w:pPr>
              <w:pStyle w:val="Default"/>
              <w:rPr>
                <w:sz w:val="23"/>
                <w:szCs w:val="23"/>
              </w:rPr>
            </w:pPr>
          </w:p>
          <w:p w:rsidR="006B491C" w:rsidP="00CB10B4">
            <w:pPr>
              <w:pStyle w:val="Default"/>
              <w:rPr>
                <w:sz w:val="23"/>
                <w:szCs w:val="23"/>
              </w:rPr>
            </w:pPr>
          </w:p>
          <w:p w:rsidR="006B491C" w:rsidP="00CB10B4">
            <w:pPr>
              <w:pStyle w:val="Default"/>
              <w:rPr>
                <w:sz w:val="23"/>
                <w:szCs w:val="23"/>
              </w:rPr>
            </w:pPr>
          </w:p>
          <w:p w:rsidR="008A3D8E" w:rsidP="00CB10B4">
            <w:pPr>
              <w:pStyle w:val="Default"/>
              <w:rPr>
                <w:sz w:val="23"/>
                <w:szCs w:val="23"/>
              </w:rPr>
            </w:pPr>
          </w:p>
          <w:p w:rsidR="008A3D8E" w:rsidP="00CB10B4">
            <w:pPr>
              <w:pStyle w:val="Default"/>
              <w:rPr>
                <w:sz w:val="23"/>
                <w:szCs w:val="23"/>
              </w:rPr>
            </w:pPr>
          </w:p>
          <w:p w:rsidR="008A3D8E" w:rsidRPr="00FD7920" w:rsidP="00CB10B4">
            <w:pPr>
              <w:pStyle w:val="Default"/>
              <w:rPr>
                <w:sz w:val="23"/>
                <w:szCs w:val="23"/>
              </w:rPr>
            </w:pPr>
            <w:r>
              <w:rPr>
                <w:sz w:val="23"/>
                <w:szCs w:val="23"/>
              </w:rPr>
              <w:t>Ongoing</w:t>
            </w:r>
          </w:p>
        </w:tc>
      </w:tr>
      <w:tr w:rsidTr="00CB10B4">
        <w:tblPrEx>
          <w:tblW w:w="15388" w:type="dxa"/>
          <w:tblLook w:val="04A0"/>
        </w:tblPrEx>
        <w:trPr>
          <w:trHeight w:val="2423"/>
        </w:trPr>
        <w:tc>
          <w:tcPr>
            <w:tcW w:w="2146" w:type="dxa"/>
          </w:tcPr>
          <w:p w:rsidR="008A3D8E" w:rsidP="00CB10B4">
            <w:pPr>
              <w:pStyle w:val="Default"/>
              <w:rPr>
                <w:b/>
                <w:bCs/>
                <w:sz w:val="23"/>
                <w:szCs w:val="23"/>
              </w:rPr>
            </w:pPr>
            <w:r>
              <w:rPr>
                <w:b/>
                <w:bCs/>
                <w:color w:val="auto"/>
                <w:sz w:val="23"/>
                <w:szCs w:val="23"/>
              </w:rPr>
              <w:t>3. Programme Plan for future work and political priorities</w:t>
            </w:r>
          </w:p>
        </w:tc>
        <w:tc>
          <w:tcPr>
            <w:tcW w:w="5646" w:type="dxa"/>
          </w:tcPr>
          <w:p w:rsidR="008A3D8E" w:rsidRPr="008A3D8E" w:rsidP="00CB10B4">
            <w:pPr>
              <w:pStyle w:val="Default"/>
              <w:rPr>
                <w:color w:val="auto"/>
                <w:sz w:val="23"/>
                <w:szCs w:val="23"/>
              </w:rPr>
            </w:pPr>
            <w:r>
              <w:rPr>
                <w:color w:val="auto"/>
                <w:sz w:val="23"/>
                <w:szCs w:val="23"/>
              </w:rPr>
              <w:t xml:space="preserve">There are several key priorities that exist at SRBC simultaneously. This includes a corporate commitment to governance improvements, an ambitious capital programme, COVID-19 recovery proposals, and future ambitions for shared services. Whilst this ambition is laudable, there is a need for the Council to carefully programme manage interdependencies and ensure that there is appropriate corporate capacity to deliver this breadth and depth of work. </w:t>
            </w:r>
          </w:p>
        </w:tc>
        <w:tc>
          <w:tcPr>
            <w:tcW w:w="5386" w:type="dxa"/>
          </w:tcPr>
          <w:p w:rsidR="008A3D8E" w:rsidP="003327E5">
            <w:pPr>
              <w:pStyle w:val="Default"/>
              <w:numPr>
                <w:ilvl w:val="0"/>
                <w:numId w:val="3"/>
              </w:numPr>
              <w:ind w:left="600" w:hanging="425"/>
              <w:rPr>
                <w:sz w:val="23"/>
                <w:szCs w:val="23"/>
              </w:rPr>
            </w:pPr>
            <w:r w:rsidRPr="00FD7920">
              <w:rPr>
                <w:sz w:val="23"/>
                <w:szCs w:val="23"/>
              </w:rPr>
              <w:t xml:space="preserve">Reinforce the Corporate Strategy as the key document setting out the vision, priorities and </w:t>
            </w:r>
            <w:r w:rsidRPr="00FD7920">
              <w:rPr>
                <w:sz w:val="23"/>
                <w:szCs w:val="23"/>
              </w:rPr>
              <w:t>long term</w:t>
            </w:r>
            <w:r w:rsidRPr="00FD7920">
              <w:rPr>
                <w:sz w:val="23"/>
                <w:szCs w:val="23"/>
              </w:rPr>
              <w:t xml:space="preserve"> outcomes</w:t>
            </w:r>
          </w:p>
          <w:p w:rsidR="00E017EF" w:rsidP="003327E5">
            <w:pPr>
              <w:pStyle w:val="Default"/>
              <w:ind w:left="600" w:hanging="425"/>
              <w:rPr>
                <w:sz w:val="23"/>
                <w:szCs w:val="23"/>
              </w:rPr>
            </w:pPr>
          </w:p>
          <w:p w:rsidR="00E017EF" w:rsidP="003327E5">
            <w:pPr>
              <w:pStyle w:val="Default"/>
              <w:ind w:left="600" w:hanging="425"/>
              <w:rPr>
                <w:sz w:val="23"/>
                <w:szCs w:val="23"/>
              </w:rPr>
            </w:pPr>
          </w:p>
          <w:p w:rsidR="00E017EF" w:rsidP="003327E5">
            <w:pPr>
              <w:pStyle w:val="Default"/>
              <w:ind w:left="600" w:hanging="425"/>
              <w:rPr>
                <w:sz w:val="23"/>
                <w:szCs w:val="23"/>
              </w:rPr>
            </w:pPr>
          </w:p>
          <w:p w:rsidR="00E017EF" w:rsidP="003327E5">
            <w:pPr>
              <w:pStyle w:val="Default"/>
              <w:numPr>
                <w:ilvl w:val="0"/>
                <w:numId w:val="3"/>
              </w:numPr>
              <w:ind w:left="600" w:hanging="425"/>
              <w:rPr>
                <w:sz w:val="23"/>
                <w:szCs w:val="23"/>
              </w:rPr>
            </w:pPr>
            <w:r>
              <w:rPr>
                <w:sz w:val="23"/>
                <w:szCs w:val="23"/>
              </w:rPr>
              <w:t xml:space="preserve">Ensure that the council’s budget and </w:t>
            </w:r>
            <w:r>
              <w:rPr>
                <w:sz w:val="23"/>
                <w:szCs w:val="23"/>
              </w:rPr>
              <w:t>medium term</w:t>
            </w:r>
            <w:r>
              <w:rPr>
                <w:sz w:val="23"/>
                <w:szCs w:val="23"/>
              </w:rPr>
              <w:t xml:space="preserve"> financial strategy plans and resources the priorities identified in the corporate strategy</w:t>
            </w:r>
          </w:p>
          <w:p w:rsidR="003327E5" w:rsidRPr="00FD7920" w:rsidP="003327E5">
            <w:pPr>
              <w:pStyle w:val="Default"/>
              <w:ind w:left="600" w:hanging="425"/>
              <w:rPr>
                <w:sz w:val="23"/>
                <w:szCs w:val="23"/>
              </w:rPr>
            </w:pPr>
          </w:p>
          <w:p w:rsidR="00E017EF" w:rsidRPr="003327E5" w:rsidP="003327E5">
            <w:pPr>
              <w:pStyle w:val="Default"/>
              <w:numPr>
                <w:ilvl w:val="0"/>
                <w:numId w:val="3"/>
              </w:numPr>
              <w:ind w:left="600" w:hanging="425"/>
              <w:rPr>
                <w:b/>
                <w:bCs/>
                <w:sz w:val="23"/>
                <w:szCs w:val="23"/>
              </w:rPr>
            </w:pPr>
            <w:r w:rsidRPr="00FD7920">
              <w:rPr>
                <w:sz w:val="23"/>
                <w:szCs w:val="23"/>
              </w:rPr>
              <w:t xml:space="preserve">Embed the performance management framework </w:t>
            </w:r>
            <w:r>
              <w:rPr>
                <w:sz w:val="23"/>
                <w:szCs w:val="23"/>
              </w:rPr>
              <w:t>through mandatory training, a network of officers and internal audit programme</w:t>
            </w:r>
          </w:p>
          <w:p w:rsidR="003327E5" w:rsidRPr="003327E5" w:rsidP="003327E5">
            <w:pPr>
              <w:pStyle w:val="Default"/>
              <w:ind w:left="600" w:hanging="425"/>
              <w:rPr>
                <w:b/>
                <w:bCs/>
                <w:sz w:val="23"/>
                <w:szCs w:val="23"/>
              </w:rPr>
            </w:pPr>
          </w:p>
          <w:p w:rsidR="008A3D8E" w:rsidRPr="003327E5" w:rsidP="003327E5">
            <w:pPr>
              <w:pStyle w:val="Default"/>
              <w:numPr>
                <w:ilvl w:val="0"/>
                <w:numId w:val="3"/>
              </w:numPr>
              <w:ind w:left="600" w:hanging="425"/>
              <w:rPr>
                <w:b/>
                <w:bCs/>
                <w:sz w:val="23"/>
                <w:szCs w:val="23"/>
              </w:rPr>
            </w:pPr>
            <w:r>
              <w:rPr>
                <w:sz w:val="23"/>
                <w:szCs w:val="23"/>
              </w:rPr>
              <w:t>Quarterly S</w:t>
            </w:r>
            <w:r w:rsidR="003327E5">
              <w:rPr>
                <w:sz w:val="23"/>
                <w:szCs w:val="23"/>
              </w:rPr>
              <w:t xml:space="preserve">enior </w:t>
            </w:r>
            <w:r>
              <w:rPr>
                <w:sz w:val="23"/>
                <w:szCs w:val="23"/>
              </w:rPr>
              <w:t>M</w:t>
            </w:r>
            <w:r w:rsidR="003327E5">
              <w:rPr>
                <w:sz w:val="23"/>
                <w:szCs w:val="23"/>
              </w:rPr>
              <w:t xml:space="preserve">anagement </w:t>
            </w:r>
            <w:r>
              <w:rPr>
                <w:sz w:val="23"/>
                <w:szCs w:val="23"/>
              </w:rPr>
              <w:t>T</w:t>
            </w:r>
            <w:r w:rsidR="003327E5">
              <w:rPr>
                <w:sz w:val="23"/>
                <w:szCs w:val="23"/>
              </w:rPr>
              <w:t>eam</w:t>
            </w:r>
            <w:r>
              <w:rPr>
                <w:sz w:val="23"/>
                <w:szCs w:val="23"/>
              </w:rPr>
              <w:t xml:space="preserve"> programme board meetings to monitor Corporate Strategy programme delivery </w:t>
            </w:r>
            <w:r w:rsidR="003327E5">
              <w:rPr>
                <w:sz w:val="23"/>
                <w:szCs w:val="23"/>
              </w:rPr>
              <w:t>and business plan delivery</w:t>
            </w:r>
          </w:p>
        </w:tc>
        <w:tc>
          <w:tcPr>
            <w:tcW w:w="2210" w:type="dxa"/>
          </w:tcPr>
          <w:p w:rsidR="008A3D8E" w:rsidP="00CB10B4">
            <w:pPr>
              <w:pStyle w:val="Default"/>
              <w:rPr>
                <w:sz w:val="23"/>
                <w:szCs w:val="23"/>
              </w:rPr>
            </w:pPr>
            <w:r>
              <w:rPr>
                <w:sz w:val="23"/>
                <w:szCs w:val="23"/>
              </w:rPr>
              <w:t>Corporate Strategy programme to be approved by Council November 2021</w:t>
            </w:r>
          </w:p>
          <w:p w:rsidR="008A3D8E" w:rsidP="00CB10B4">
            <w:pPr>
              <w:pStyle w:val="Default"/>
              <w:rPr>
                <w:sz w:val="23"/>
                <w:szCs w:val="23"/>
              </w:rPr>
            </w:pPr>
          </w:p>
          <w:p w:rsidR="008A3D8E" w:rsidP="00CB10B4">
            <w:pPr>
              <w:pStyle w:val="Default"/>
              <w:rPr>
                <w:sz w:val="23"/>
                <w:szCs w:val="23"/>
              </w:rPr>
            </w:pPr>
            <w:r>
              <w:rPr>
                <w:sz w:val="23"/>
                <w:szCs w:val="23"/>
              </w:rPr>
              <w:t>Budget set up end of February 2022</w:t>
            </w:r>
          </w:p>
          <w:p w:rsidR="00E017EF" w:rsidP="00CB10B4">
            <w:pPr>
              <w:pStyle w:val="Default"/>
              <w:rPr>
                <w:sz w:val="23"/>
                <w:szCs w:val="23"/>
              </w:rPr>
            </w:pPr>
          </w:p>
          <w:p w:rsidR="00E017EF" w:rsidP="00CB10B4">
            <w:pPr>
              <w:pStyle w:val="Default"/>
              <w:rPr>
                <w:sz w:val="23"/>
                <w:szCs w:val="23"/>
              </w:rPr>
            </w:pPr>
          </w:p>
          <w:p w:rsidR="00E017EF" w:rsidP="00CB10B4">
            <w:pPr>
              <w:pStyle w:val="Default"/>
              <w:rPr>
                <w:sz w:val="23"/>
                <w:szCs w:val="23"/>
              </w:rPr>
            </w:pPr>
          </w:p>
          <w:p w:rsidR="00E017EF" w:rsidP="00CB10B4">
            <w:pPr>
              <w:pStyle w:val="Default"/>
              <w:rPr>
                <w:sz w:val="23"/>
                <w:szCs w:val="23"/>
              </w:rPr>
            </w:pPr>
            <w:r>
              <w:rPr>
                <w:sz w:val="23"/>
                <w:szCs w:val="23"/>
              </w:rPr>
              <w:t>Ongoing</w:t>
            </w:r>
          </w:p>
          <w:p w:rsidR="00E017EF" w:rsidP="00CB10B4">
            <w:pPr>
              <w:pStyle w:val="Default"/>
              <w:rPr>
                <w:sz w:val="23"/>
                <w:szCs w:val="23"/>
              </w:rPr>
            </w:pPr>
          </w:p>
          <w:p w:rsidR="00E017EF" w:rsidP="00CB10B4">
            <w:pPr>
              <w:pStyle w:val="Default"/>
              <w:rPr>
                <w:sz w:val="23"/>
                <w:szCs w:val="23"/>
              </w:rPr>
            </w:pPr>
          </w:p>
          <w:p w:rsidR="00E017EF" w:rsidP="00CB10B4">
            <w:pPr>
              <w:pStyle w:val="Default"/>
              <w:rPr>
                <w:sz w:val="23"/>
                <w:szCs w:val="23"/>
              </w:rPr>
            </w:pPr>
          </w:p>
          <w:p w:rsidR="003327E5" w:rsidP="00CB10B4">
            <w:pPr>
              <w:pStyle w:val="Default"/>
              <w:rPr>
                <w:sz w:val="23"/>
                <w:szCs w:val="23"/>
              </w:rPr>
            </w:pPr>
          </w:p>
          <w:p w:rsidR="008A3D8E" w:rsidP="00CB10B4">
            <w:pPr>
              <w:pStyle w:val="Default"/>
              <w:rPr>
                <w:sz w:val="23"/>
                <w:szCs w:val="23"/>
              </w:rPr>
            </w:pPr>
            <w:r>
              <w:rPr>
                <w:sz w:val="23"/>
                <w:szCs w:val="23"/>
              </w:rPr>
              <w:t>Ongoing</w:t>
            </w:r>
            <w:r w:rsidR="00E017EF">
              <w:rPr>
                <w:sz w:val="23"/>
                <w:szCs w:val="23"/>
              </w:rPr>
              <w:t>, with quarterly SMT meetings</w:t>
            </w:r>
          </w:p>
          <w:p w:rsidR="003327E5" w:rsidP="00CB10B4">
            <w:pPr>
              <w:pStyle w:val="Default"/>
              <w:rPr>
                <w:sz w:val="23"/>
                <w:szCs w:val="23"/>
              </w:rPr>
            </w:pPr>
          </w:p>
          <w:p w:rsidR="00E017EF" w:rsidRPr="00FD7920" w:rsidP="00CB10B4">
            <w:pPr>
              <w:pStyle w:val="Default"/>
              <w:rPr>
                <w:sz w:val="23"/>
                <w:szCs w:val="23"/>
              </w:rPr>
            </w:pPr>
          </w:p>
        </w:tc>
      </w:tr>
      <w:tr w:rsidTr="00CB10B4">
        <w:tblPrEx>
          <w:tblW w:w="15388" w:type="dxa"/>
          <w:tblLook w:val="04A0"/>
        </w:tblPrEx>
        <w:trPr>
          <w:trHeight w:val="1693"/>
        </w:trPr>
        <w:tc>
          <w:tcPr>
            <w:tcW w:w="2146" w:type="dxa"/>
          </w:tcPr>
          <w:p w:rsidR="008A3D8E" w:rsidP="00CB10B4">
            <w:pPr>
              <w:pStyle w:val="Default"/>
              <w:rPr>
                <w:b/>
                <w:bCs/>
                <w:color w:val="auto"/>
                <w:sz w:val="23"/>
                <w:szCs w:val="23"/>
              </w:rPr>
            </w:pPr>
            <w:r>
              <w:rPr>
                <w:b/>
                <w:bCs/>
                <w:color w:val="auto"/>
                <w:sz w:val="23"/>
                <w:szCs w:val="23"/>
              </w:rPr>
              <w:t>4. Medium Term Financial Strategy</w:t>
            </w:r>
          </w:p>
        </w:tc>
        <w:tc>
          <w:tcPr>
            <w:tcW w:w="5646" w:type="dxa"/>
          </w:tcPr>
          <w:p w:rsidR="008A3D8E" w:rsidP="00CB10B4">
            <w:pPr>
              <w:pStyle w:val="Default"/>
              <w:rPr>
                <w:color w:val="auto"/>
                <w:sz w:val="23"/>
                <w:szCs w:val="23"/>
              </w:rPr>
            </w:pPr>
            <w:r>
              <w:rPr>
                <w:color w:val="auto"/>
                <w:sz w:val="23"/>
                <w:szCs w:val="23"/>
              </w:rPr>
              <w:t xml:space="preserve">The Council has managed their finances well in responding to the immediate issues of COVID 19. However, the Council’s current MTFS contains a rising budget gap through to 2024, and further work is required to assure proposals already contained and develop further policy options for future years. </w:t>
            </w:r>
          </w:p>
          <w:p w:rsidR="008A3D8E" w:rsidP="00CB10B4">
            <w:pPr>
              <w:pStyle w:val="Default"/>
              <w:rPr>
                <w:color w:val="auto"/>
                <w:sz w:val="23"/>
                <w:szCs w:val="23"/>
              </w:rPr>
            </w:pPr>
          </w:p>
        </w:tc>
        <w:tc>
          <w:tcPr>
            <w:tcW w:w="5386" w:type="dxa"/>
          </w:tcPr>
          <w:p w:rsidR="008A3D8E" w:rsidRPr="00FD7920" w:rsidP="003327E5">
            <w:pPr>
              <w:pStyle w:val="Default"/>
              <w:numPr>
                <w:ilvl w:val="0"/>
                <w:numId w:val="4"/>
              </w:numPr>
              <w:ind w:left="600" w:hanging="425"/>
              <w:rPr>
                <w:sz w:val="23"/>
                <w:szCs w:val="23"/>
              </w:rPr>
            </w:pPr>
            <w:r w:rsidRPr="00FD7920">
              <w:rPr>
                <w:sz w:val="23"/>
                <w:szCs w:val="23"/>
              </w:rPr>
              <w:t>Develop and deliver the transformation programme</w:t>
            </w:r>
            <w:r w:rsidR="006B491C">
              <w:rPr>
                <w:sz w:val="23"/>
                <w:szCs w:val="23"/>
              </w:rPr>
              <w:t xml:space="preserve"> of actions to address future budget challenges</w:t>
            </w:r>
          </w:p>
        </w:tc>
        <w:tc>
          <w:tcPr>
            <w:tcW w:w="2210" w:type="dxa"/>
          </w:tcPr>
          <w:p w:rsidR="008A3D8E" w:rsidRPr="00FD7920" w:rsidP="00CB10B4">
            <w:pPr>
              <w:pStyle w:val="Default"/>
              <w:rPr>
                <w:sz w:val="23"/>
                <w:szCs w:val="23"/>
              </w:rPr>
            </w:pPr>
            <w:r>
              <w:rPr>
                <w:sz w:val="23"/>
                <w:szCs w:val="23"/>
              </w:rPr>
              <w:t xml:space="preserve">February </w:t>
            </w:r>
            <w:r>
              <w:rPr>
                <w:sz w:val="23"/>
                <w:szCs w:val="23"/>
              </w:rPr>
              <w:t>2022</w:t>
            </w:r>
          </w:p>
        </w:tc>
      </w:tr>
      <w:tr w:rsidTr="00CB10B4">
        <w:tblPrEx>
          <w:tblW w:w="15388" w:type="dxa"/>
          <w:tblLook w:val="04A0"/>
        </w:tblPrEx>
        <w:trPr>
          <w:trHeight w:val="729"/>
        </w:trPr>
        <w:tc>
          <w:tcPr>
            <w:tcW w:w="2146" w:type="dxa"/>
          </w:tcPr>
          <w:p w:rsidR="008A3D8E" w:rsidP="00CB10B4">
            <w:pPr>
              <w:pStyle w:val="Default"/>
              <w:rPr>
                <w:b/>
                <w:bCs/>
                <w:color w:val="auto"/>
                <w:sz w:val="23"/>
                <w:szCs w:val="23"/>
              </w:rPr>
            </w:pPr>
            <w:r>
              <w:rPr>
                <w:b/>
                <w:bCs/>
                <w:color w:val="auto"/>
                <w:sz w:val="23"/>
                <w:szCs w:val="23"/>
              </w:rPr>
              <w:t>5. Assurance on capital programme delivery</w:t>
            </w:r>
          </w:p>
        </w:tc>
        <w:tc>
          <w:tcPr>
            <w:tcW w:w="5646" w:type="dxa"/>
          </w:tcPr>
          <w:p w:rsidR="008A3D8E" w:rsidRPr="008A3D8E" w:rsidP="00CB10B4">
            <w:pPr>
              <w:pStyle w:val="Default"/>
              <w:rPr>
                <w:color w:val="auto"/>
                <w:sz w:val="22"/>
                <w:szCs w:val="22"/>
              </w:rPr>
            </w:pPr>
            <w:r w:rsidRPr="008A3D8E">
              <w:rPr>
                <w:color w:val="auto"/>
                <w:sz w:val="22"/>
                <w:szCs w:val="22"/>
              </w:rPr>
              <w:t xml:space="preserve">The Council plans to significantly increase their capital delivery programme over the next four-years. However, this is a largely borrowing funded programme and the minimum revenue provision of these plans should be built into the Medium-Term Financial Strategy. Further research should also take place on capital funding for this programme as borrowing from PWLB is more difficult than it has been in the past and cannot be used for any form of financial yield. </w:t>
            </w:r>
          </w:p>
          <w:p w:rsidR="008A3D8E" w:rsidRPr="008A3D8E" w:rsidP="00CB10B4">
            <w:pPr>
              <w:pStyle w:val="Default"/>
              <w:rPr>
                <w:color w:val="auto"/>
                <w:sz w:val="22"/>
                <w:szCs w:val="22"/>
              </w:rPr>
            </w:pPr>
          </w:p>
        </w:tc>
        <w:tc>
          <w:tcPr>
            <w:tcW w:w="5386" w:type="dxa"/>
          </w:tcPr>
          <w:p w:rsidR="008A3D8E" w:rsidP="003327E5">
            <w:pPr>
              <w:pStyle w:val="Default"/>
              <w:numPr>
                <w:ilvl w:val="0"/>
                <w:numId w:val="4"/>
              </w:numPr>
              <w:ind w:left="600" w:hanging="425"/>
              <w:rPr>
                <w:sz w:val="22"/>
                <w:szCs w:val="22"/>
              </w:rPr>
            </w:pPr>
            <w:r>
              <w:rPr>
                <w:sz w:val="22"/>
                <w:szCs w:val="22"/>
              </w:rPr>
              <w:t>Develop a methodology for assessing capital programme projects that may require PWLB funding to ensure it meets the new requirements</w:t>
            </w:r>
          </w:p>
          <w:p w:rsidR="003327E5" w:rsidP="003327E5">
            <w:pPr>
              <w:pStyle w:val="Default"/>
              <w:ind w:left="600" w:hanging="425"/>
              <w:rPr>
                <w:sz w:val="22"/>
                <w:szCs w:val="22"/>
              </w:rPr>
            </w:pPr>
          </w:p>
          <w:p w:rsidR="00D6395A" w:rsidRPr="008A3D8E" w:rsidP="003327E5">
            <w:pPr>
              <w:pStyle w:val="Default"/>
              <w:numPr>
                <w:ilvl w:val="0"/>
                <w:numId w:val="4"/>
              </w:numPr>
              <w:ind w:left="600" w:hanging="425"/>
              <w:rPr>
                <w:sz w:val="22"/>
                <w:szCs w:val="22"/>
              </w:rPr>
            </w:pPr>
            <w:r>
              <w:rPr>
                <w:sz w:val="22"/>
                <w:szCs w:val="22"/>
              </w:rPr>
              <w:t>Continue to ensure that the budget accounts for the minimum revenue provision required by the capital programme</w:t>
            </w:r>
          </w:p>
        </w:tc>
        <w:tc>
          <w:tcPr>
            <w:tcW w:w="2210" w:type="dxa"/>
          </w:tcPr>
          <w:p w:rsidR="008A3D8E" w:rsidP="00CB10B4">
            <w:pPr>
              <w:pStyle w:val="Default"/>
              <w:rPr>
                <w:sz w:val="23"/>
                <w:szCs w:val="23"/>
              </w:rPr>
            </w:pPr>
            <w:r>
              <w:rPr>
                <w:sz w:val="23"/>
                <w:szCs w:val="23"/>
              </w:rPr>
              <w:t xml:space="preserve">December </w:t>
            </w:r>
            <w:r>
              <w:rPr>
                <w:sz w:val="23"/>
                <w:szCs w:val="23"/>
              </w:rPr>
              <w:t>2022</w:t>
            </w:r>
          </w:p>
          <w:p w:rsidR="00D6395A" w:rsidP="00CB10B4">
            <w:pPr>
              <w:pStyle w:val="Default"/>
              <w:rPr>
                <w:sz w:val="23"/>
                <w:szCs w:val="23"/>
              </w:rPr>
            </w:pPr>
          </w:p>
          <w:p w:rsidR="00D6395A" w:rsidP="00CB10B4">
            <w:pPr>
              <w:pStyle w:val="Default"/>
              <w:rPr>
                <w:sz w:val="23"/>
                <w:szCs w:val="23"/>
              </w:rPr>
            </w:pPr>
          </w:p>
          <w:p w:rsidR="00D6395A" w:rsidP="00CB10B4">
            <w:pPr>
              <w:pStyle w:val="Default"/>
              <w:rPr>
                <w:sz w:val="23"/>
                <w:szCs w:val="23"/>
              </w:rPr>
            </w:pPr>
          </w:p>
          <w:p w:rsidR="00D6395A" w:rsidP="00CB10B4">
            <w:pPr>
              <w:pStyle w:val="Default"/>
              <w:rPr>
                <w:sz w:val="23"/>
                <w:szCs w:val="23"/>
              </w:rPr>
            </w:pPr>
          </w:p>
          <w:p w:rsidR="00D6395A" w:rsidRPr="00FD7920" w:rsidP="00CB10B4">
            <w:pPr>
              <w:pStyle w:val="Default"/>
              <w:rPr>
                <w:sz w:val="23"/>
                <w:szCs w:val="23"/>
              </w:rPr>
            </w:pPr>
            <w:r>
              <w:rPr>
                <w:sz w:val="23"/>
                <w:szCs w:val="23"/>
              </w:rPr>
              <w:t>February 2022 and ongoing</w:t>
            </w:r>
          </w:p>
        </w:tc>
      </w:tr>
      <w:tr w:rsidTr="00CB10B4">
        <w:tblPrEx>
          <w:tblW w:w="15388" w:type="dxa"/>
          <w:tblLook w:val="04A0"/>
        </w:tblPrEx>
        <w:trPr>
          <w:trHeight w:val="2671"/>
        </w:trPr>
        <w:tc>
          <w:tcPr>
            <w:tcW w:w="2146" w:type="dxa"/>
          </w:tcPr>
          <w:p w:rsidR="008A3D8E" w:rsidP="00CB10B4">
            <w:pPr>
              <w:pStyle w:val="Default"/>
              <w:rPr>
                <w:b/>
                <w:bCs/>
                <w:color w:val="auto"/>
                <w:sz w:val="23"/>
                <w:szCs w:val="23"/>
              </w:rPr>
            </w:pPr>
            <w:r>
              <w:rPr>
                <w:b/>
                <w:bCs/>
                <w:color w:val="auto"/>
                <w:sz w:val="23"/>
                <w:szCs w:val="23"/>
              </w:rPr>
              <w:t>6. Organisational development and Management Practice:</w:t>
            </w:r>
          </w:p>
        </w:tc>
        <w:tc>
          <w:tcPr>
            <w:tcW w:w="5646" w:type="dxa"/>
          </w:tcPr>
          <w:p w:rsidR="008A3D8E" w:rsidRPr="008A3D8E" w:rsidP="00CB10B4">
            <w:pPr>
              <w:pStyle w:val="Default"/>
              <w:rPr>
                <w:color w:val="auto"/>
                <w:sz w:val="22"/>
                <w:szCs w:val="22"/>
              </w:rPr>
            </w:pPr>
            <w:r w:rsidRPr="008A3D8E">
              <w:rPr>
                <w:color w:val="auto"/>
                <w:sz w:val="22"/>
                <w:szCs w:val="22"/>
              </w:rPr>
              <w:t xml:space="preserve">The Councillors and Officers of SRBC have worked extremely hard to support residents throughout the Coronavirus pandemic and political and managerial leaders are rightly proud of these achievements. As the country moves through the national roadmap to ease restrictions, SRBC should consider how these achievements are recognised, managing the wider workforce in returning to the workplace, and introductions for those who may have joined the Council during this period. There is also a need for more standardised practice to HR across council directorates. </w:t>
            </w:r>
          </w:p>
        </w:tc>
        <w:tc>
          <w:tcPr>
            <w:tcW w:w="5386" w:type="dxa"/>
          </w:tcPr>
          <w:p w:rsidR="008A3D8E" w:rsidP="003327E5">
            <w:pPr>
              <w:pStyle w:val="Default"/>
              <w:numPr>
                <w:ilvl w:val="0"/>
                <w:numId w:val="4"/>
              </w:numPr>
              <w:ind w:left="600" w:hanging="425"/>
              <w:rPr>
                <w:sz w:val="22"/>
                <w:szCs w:val="22"/>
              </w:rPr>
            </w:pPr>
            <w:r w:rsidRPr="008A3D8E">
              <w:rPr>
                <w:sz w:val="22"/>
                <w:szCs w:val="22"/>
              </w:rPr>
              <w:t>Deliver the staff thank you and recognition even</w:t>
            </w:r>
            <w:r w:rsidR="008129A3">
              <w:rPr>
                <w:sz w:val="22"/>
                <w:szCs w:val="22"/>
              </w:rPr>
              <w:t>t</w:t>
            </w:r>
            <w:r w:rsidRPr="008A3D8E">
              <w:rPr>
                <w:sz w:val="22"/>
                <w:szCs w:val="22"/>
              </w:rPr>
              <w:t xml:space="preserve"> in October</w:t>
            </w:r>
            <w:r w:rsidR="006B491C">
              <w:rPr>
                <w:sz w:val="22"/>
                <w:szCs w:val="22"/>
              </w:rPr>
              <w:t xml:space="preserve"> 2021</w:t>
            </w:r>
          </w:p>
          <w:p w:rsidR="003327E5" w:rsidRPr="008A3D8E" w:rsidP="003327E5">
            <w:pPr>
              <w:pStyle w:val="Default"/>
              <w:ind w:left="600" w:hanging="425"/>
              <w:rPr>
                <w:sz w:val="22"/>
                <w:szCs w:val="22"/>
              </w:rPr>
            </w:pPr>
          </w:p>
          <w:p w:rsidR="008A3D8E" w:rsidP="003327E5">
            <w:pPr>
              <w:pStyle w:val="Default"/>
              <w:numPr>
                <w:ilvl w:val="0"/>
                <w:numId w:val="4"/>
              </w:numPr>
              <w:ind w:left="600" w:hanging="425"/>
              <w:rPr>
                <w:sz w:val="22"/>
                <w:szCs w:val="22"/>
              </w:rPr>
            </w:pPr>
            <w:r w:rsidRPr="008A3D8E">
              <w:rPr>
                <w:sz w:val="22"/>
                <w:szCs w:val="22"/>
              </w:rPr>
              <w:t xml:space="preserve">Roll out the new corporate induction process to ensure comprehensive </w:t>
            </w:r>
            <w:r w:rsidR="003327E5">
              <w:rPr>
                <w:sz w:val="22"/>
                <w:szCs w:val="22"/>
              </w:rPr>
              <w:t>training for new staff</w:t>
            </w:r>
          </w:p>
          <w:p w:rsidR="003327E5" w:rsidRPr="008A3D8E" w:rsidP="003327E5">
            <w:pPr>
              <w:pStyle w:val="Default"/>
              <w:ind w:left="600" w:hanging="425"/>
              <w:rPr>
                <w:sz w:val="22"/>
                <w:szCs w:val="22"/>
              </w:rPr>
            </w:pPr>
          </w:p>
          <w:p w:rsidR="008A3D8E" w:rsidRPr="008A3D8E" w:rsidP="003327E5">
            <w:pPr>
              <w:pStyle w:val="Default"/>
              <w:numPr>
                <w:ilvl w:val="0"/>
                <w:numId w:val="4"/>
              </w:numPr>
              <w:ind w:left="600" w:hanging="425"/>
              <w:rPr>
                <w:b/>
                <w:bCs/>
                <w:sz w:val="22"/>
                <w:szCs w:val="22"/>
              </w:rPr>
            </w:pPr>
            <w:r w:rsidRPr="008A3D8E">
              <w:rPr>
                <w:sz w:val="22"/>
                <w:szCs w:val="22"/>
              </w:rPr>
              <w:t>Deliver the Passport to People Management programme to ensure consistent management standards</w:t>
            </w:r>
          </w:p>
        </w:tc>
        <w:tc>
          <w:tcPr>
            <w:tcW w:w="2210" w:type="dxa"/>
          </w:tcPr>
          <w:p w:rsidR="008A3D8E" w:rsidP="00CB10B4">
            <w:pPr>
              <w:pStyle w:val="Default"/>
              <w:rPr>
                <w:sz w:val="23"/>
                <w:szCs w:val="23"/>
              </w:rPr>
            </w:pPr>
            <w:r>
              <w:rPr>
                <w:sz w:val="23"/>
                <w:szCs w:val="23"/>
              </w:rPr>
              <w:t>October 2021</w:t>
            </w:r>
          </w:p>
          <w:p w:rsidR="008A3D8E" w:rsidP="00CB10B4">
            <w:pPr>
              <w:pStyle w:val="Default"/>
              <w:rPr>
                <w:sz w:val="23"/>
                <w:szCs w:val="23"/>
              </w:rPr>
            </w:pPr>
          </w:p>
          <w:p w:rsidR="003327E5" w:rsidP="00CB10B4">
            <w:pPr>
              <w:pStyle w:val="Default"/>
              <w:rPr>
                <w:sz w:val="23"/>
                <w:szCs w:val="23"/>
              </w:rPr>
            </w:pPr>
          </w:p>
          <w:p w:rsidR="008A3D8E" w:rsidP="00CB10B4">
            <w:pPr>
              <w:pStyle w:val="Default"/>
              <w:rPr>
                <w:sz w:val="23"/>
                <w:szCs w:val="23"/>
              </w:rPr>
            </w:pPr>
            <w:r>
              <w:rPr>
                <w:sz w:val="23"/>
                <w:szCs w:val="23"/>
              </w:rPr>
              <w:t>December 2021</w:t>
            </w:r>
          </w:p>
          <w:p w:rsidR="008A3D8E" w:rsidP="00CB10B4">
            <w:pPr>
              <w:pStyle w:val="Default"/>
              <w:rPr>
                <w:sz w:val="23"/>
                <w:szCs w:val="23"/>
              </w:rPr>
            </w:pPr>
          </w:p>
          <w:p w:rsidR="008A3D8E" w:rsidP="00CB10B4">
            <w:pPr>
              <w:pStyle w:val="Default"/>
              <w:rPr>
                <w:sz w:val="23"/>
                <w:szCs w:val="23"/>
              </w:rPr>
            </w:pPr>
          </w:p>
          <w:p w:rsidR="008A3D8E" w:rsidRPr="00FD7920" w:rsidP="00CB10B4">
            <w:pPr>
              <w:pStyle w:val="Default"/>
              <w:rPr>
                <w:sz w:val="23"/>
                <w:szCs w:val="23"/>
              </w:rPr>
            </w:pPr>
            <w:r>
              <w:rPr>
                <w:sz w:val="23"/>
                <w:szCs w:val="23"/>
              </w:rPr>
              <w:t>March 2022</w:t>
            </w:r>
          </w:p>
        </w:tc>
      </w:tr>
      <w:tr w:rsidTr="00CB10B4">
        <w:tblPrEx>
          <w:tblW w:w="15388" w:type="dxa"/>
          <w:tblLook w:val="04A0"/>
        </w:tblPrEx>
        <w:trPr>
          <w:trHeight w:val="4350"/>
        </w:trPr>
        <w:tc>
          <w:tcPr>
            <w:tcW w:w="2146" w:type="dxa"/>
          </w:tcPr>
          <w:p w:rsidR="008A3D8E" w:rsidRPr="008A3D8E" w:rsidP="00CB10B4">
            <w:pPr>
              <w:pStyle w:val="Default"/>
              <w:rPr>
                <w:b/>
                <w:bCs/>
                <w:color w:val="auto"/>
                <w:sz w:val="22"/>
                <w:szCs w:val="22"/>
              </w:rPr>
            </w:pPr>
            <w:r w:rsidRPr="008A3D8E">
              <w:rPr>
                <w:b/>
                <w:bCs/>
                <w:color w:val="auto"/>
                <w:sz w:val="22"/>
                <w:szCs w:val="22"/>
              </w:rPr>
              <w:t>7. Community Hubs</w:t>
            </w:r>
          </w:p>
        </w:tc>
        <w:tc>
          <w:tcPr>
            <w:tcW w:w="5646" w:type="dxa"/>
          </w:tcPr>
          <w:p w:rsidR="008A3D8E" w:rsidRPr="008A3D8E" w:rsidP="003327E5">
            <w:pPr>
              <w:pStyle w:val="Default"/>
              <w:pageBreakBefore/>
              <w:rPr>
                <w:color w:val="auto"/>
                <w:sz w:val="22"/>
                <w:szCs w:val="22"/>
              </w:rPr>
            </w:pPr>
            <w:r w:rsidRPr="008A3D8E">
              <w:rPr>
                <w:color w:val="auto"/>
                <w:sz w:val="22"/>
                <w:szCs w:val="22"/>
              </w:rPr>
              <w:t xml:space="preserve">SRBC have developed a community led approach to resident engagement through their Community Hubs. This model has real potential to reshape the Council’s dialogue and relationship with its residents. This approach also has the potential to support improved engagement with residents, and SRBC should consider the impact of Community Hubs on their wider methods and channels of engagement, including the approach to incorporating questions at physical meetings. These issues should be included in the review of Community Hubs in the Autumn of 2021 to ensure that this opportunity is not treated in isolation and is instead considered alongside wider impact on the Council’s relationship with residents and all the Council’s work. These community hubs provide a new opportunity for the Council to raise the profile of their wider services with residents. </w:t>
            </w:r>
          </w:p>
        </w:tc>
        <w:tc>
          <w:tcPr>
            <w:tcW w:w="5386" w:type="dxa"/>
          </w:tcPr>
          <w:p w:rsidR="008A3D8E" w:rsidRPr="008A3D8E" w:rsidP="003327E5">
            <w:pPr>
              <w:pStyle w:val="Default"/>
              <w:numPr>
                <w:ilvl w:val="0"/>
                <w:numId w:val="5"/>
              </w:numPr>
              <w:ind w:left="600" w:hanging="425"/>
              <w:rPr>
                <w:sz w:val="22"/>
                <w:szCs w:val="22"/>
              </w:rPr>
            </w:pPr>
            <w:r w:rsidRPr="008A3D8E">
              <w:rPr>
                <w:sz w:val="22"/>
                <w:szCs w:val="22"/>
              </w:rPr>
              <w:t xml:space="preserve">Complete an interim review of community hubs in autumn 2021 with full review in March 2022 </w:t>
            </w:r>
          </w:p>
          <w:p w:rsidR="008A3D8E" w:rsidRPr="008A3D8E" w:rsidP="003327E5">
            <w:pPr>
              <w:pStyle w:val="Default"/>
              <w:numPr>
                <w:ilvl w:val="0"/>
                <w:numId w:val="5"/>
              </w:numPr>
              <w:ind w:left="600" w:hanging="425"/>
              <w:rPr>
                <w:sz w:val="22"/>
                <w:szCs w:val="22"/>
              </w:rPr>
            </w:pPr>
            <w:r w:rsidRPr="008A3D8E">
              <w:rPr>
                <w:sz w:val="22"/>
                <w:szCs w:val="22"/>
              </w:rPr>
              <w:t>Implement the recommendations of the review</w:t>
            </w:r>
          </w:p>
          <w:p w:rsidR="008A3D8E" w:rsidRPr="008A3D8E" w:rsidP="003327E5">
            <w:pPr>
              <w:pStyle w:val="Default"/>
              <w:ind w:left="600" w:hanging="425"/>
              <w:rPr>
                <w:b/>
                <w:bCs/>
                <w:sz w:val="22"/>
                <w:szCs w:val="22"/>
              </w:rPr>
            </w:pPr>
          </w:p>
        </w:tc>
        <w:tc>
          <w:tcPr>
            <w:tcW w:w="2210" w:type="dxa"/>
          </w:tcPr>
          <w:p w:rsidR="008A3D8E" w:rsidRPr="008A3D8E" w:rsidP="00CB10B4">
            <w:pPr>
              <w:pStyle w:val="Default"/>
              <w:rPr>
                <w:sz w:val="23"/>
                <w:szCs w:val="23"/>
              </w:rPr>
            </w:pPr>
            <w:r>
              <w:rPr>
                <w:sz w:val="23"/>
                <w:szCs w:val="23"/>
              </w:rPr>
              <w:t>November 2021/March 2022</w:t>
            </w:r>
          </w:p>
        </w:tc>
      </w:tr>
      <w:tr w:rsidTr="00CB10B4">
        <w:tblPrEx>
          <w:tblW w:w="15388" w:type="dxa"/>
          <w:tblLook w:val="04A0"/>
        </w:tblPrEx>
        <w:trPr>
          <w:trHeight w:val="2423"/>
        </w:trPr>
        <w:tc>
          <w:tcPr>
            <w:tcW w:w="2146" w:type="dxa"/>
          </w:tcPr>
          <w:p w:rsidR="008A3D8E" w:rsidRPr="008A3D8E" w:rsidP="00CB10B4">
            <w:pPr>
              <w:rPr>
                <w:rFonts w:ascii="Arial" w:hAnsi="Arial" w:cs="Arial"/>
              </w:rPr>
            </w:pPr>
            <w:r w:rsidRPr="008A3D8E">
              <w:rPr>
                <w:rFonts w:ascii="Arial" w:hAnsi="Arial" w:cs="Arial"/>
                <w:b/>
                <w:bCs/>
              </w:rPr>
              <w:t>8. Political engagement in a balanced authority</w:t>
            </w:r>
          </w:p>
          <w:p w:rsidR="008A3D8E" w:rsidRPr="008A3D8E" w:rsidP="00CB10B4">
            <w:pPr>
              <w:pStyle w:val="Default"/>
              <w:rPr>
                <w:b/>
                <w:bCs/>
                <w:color w:val="auto"/>
                <w:sz w:val="22"/>
                <w:szCs w:val="22"/>
              </w:rPr>
            </w:pPr>
          </w:p>
        </w:tc>
        <w:tc>
          <w:tcPr>
            <w:tcW w:w="5646" w:type="dxa"/>
          </w:tcPr>
          <w:p w:rsidR="008A3D8E" w:rsidRPr="008A3D8E" w:rsidP="00CB10B4">
            <w:pPr>
              <w:pStyle w:val="Default"/>
              <w:pageBreakBefore/>
              <w:rPr>
                <w:color w:val="auto"/>
                <w:sz w:val="22"/>
                <w:szCs w:val="22"/>
              </w:rPr>
            </w:pPr>
            <w:r w:rsidRPr="008A3D8E">
              <w:rPr>
                <w:color w:val="auto"/>
                <w:sz w:val="22"/>
                <w:szCs w:val="22"/>
              </w:rPr>
              <w:t>The finely balanced politics of SRBC places further emphasis on the need for effective cross-party working relations. Given the challenges ahead it is important to ensure, where possible, a strong cross-party consensus on many of the priority and long-term issues that are facing the borough. This should include consideration of the contribution that Scrutiny can make to provide constructive challenge on issues and building on the sharing of information across political groups that has been developed during the COVID pandemic.</w:t>
            </w:r>
          </w:p>
        </w:tc>
        <w:tc>
          <w:tcPr>
            <w:tcW w:w="5386" w:type="dxa"/>
          </w:tcPr>
          <w:p w:rsidR="008A3D8E" w:rsidP="003327E5">
            <w:pPr>
              <w:pStyle w:val="Default"/>
              <w:numPr>
                <w:ilvl w:val="0"/>
                <w:numId w:val="6"/>
              </w:numPr>
              <w:ind w:left="600" w:hanging="425"/>
              <w:rPr>
                <w:sz w:val="22"/>
                <w:szCs w:val="22"/>
              </w:rPr>
            </w:pPr>
            <w:r w:rsidRPr="008A3D8E">
              <w:rPr>
                <w:sz w:val="22"/>
                <w:szCs w:val="22"/>
              </w:rPr>
              <w:t xml:space="preserve">Regular </w:t>
            </w:r>
            <w:r w:rsidR="00D6395A">
              <w:rPr>
                <w:sz w:val="22"/>
                <w:szCs w:val="22"/>
              </w:rPr>
              <w:t>all party</w:t>
            </w:r>
            <w:r w:rsidR="00D6395A">
              <w:rPr>
                <w:sz w:val="22"/>
                <w:szCs w:val="22"/>
              </w:rPr>
              <w:t xml:space="preserve"> Leader meetings </w:t>
            </w:r>
          </w:p>
          <w:p w:rsidR="003327E5" w:rsidRPr="008A3D8E" w:rsidP="003327E5">
            <w:pPr>
              <w:pStyle w:val="Default"/>
              <w:ind w:left="600" w:hanging="425"/>
              <w:rPr>
                <w:sz w:val="22"/>
                <w:szCs w:val="22"/>
              </w:rPr>
            </w:pPr>
          </w:p>
          <w:p w:rsidR="003327E5" w:rsidRPr="003327E5" w:rsidP="003327E5">
            <w:pPr>
              <w:pStyle w:val="Default"/>
              <w:ind w:left="600" w:hanging="425"/>
              <w:rPr>
                <w:b/>
                <w:bCs/>
                <w:sz w:val="22"/>
                <w:szCs w:val="22"/>
              </w:rPr>
            </w:pPr>
          </w:p>
          <w:p w:rsidR="00D6395A" w:rsidRPr="008A3D8E" w:rsidP="003327E5">
            <w:pPr>
              <w:pStyle w:val="Default"/>
              <w:numPr>
                <w:ilvl w:val="0"/>
                <w:numId w:val="6"/>
              </w:numPr>
              <w:ind w:left="600" w:hanging="425"/>
              <w:rPr>
                <w:b/>
                <w:bCs/>
                <w:sz w:val="22"/>
                <w:szCs w:val="22"/>
              </w:rPr>
            </w:pPr>
            <w:r>
              <w:rPr>
                <w:sz w:val="22"/>
                <w:szCs w:val="22"/>
              </w:rPr>
              <w:t xml:space="preserve">We will work with the LGA and </w:t>
            </w:r>
            <w:r>
              <w:rPr>
                <w:sz w:val="22"/>
                <w:szCs w:val="22"/>
              </w:rPr>
              <w:t>CfGS</w:t>
            </w:r>
            <w:r>
              <w:rPr>
                <w:sz w:val="22"/>
                <w:szCs w:val="22"/>
              </w:rPr>
              <w:t xml:space="preserve"> to examine our approach t</w:t>
            </w:r>
            <w:r w:rsidR="00FE2AB8">
              <w:rPr>
                <w:sz w:val="22"/>
                <w:szCs w:val="22"/>
              </w:rPr>
              <w:t>o our committee meetings to ensure they reflect best pract</w:t>
            </w:r>
            <w:r w:rsidR="00D01F55">
              <w:rPr>
                <w:sz w:val="22"/>
                <w:szCs w:val="22"/>
              </w:rPr>
              <w:t>ice.  As part of this we will also consider the effectiveness of the scrutiny function.</w:t>
            </w:r>
          </w:p>
        </w:tc>
        <w:tc>
          <w:tcPr>
            <w:tcW w:w="2210" w:type="dxa"/>
          </w:tcPr>
          <w:p w:rsidR="008A3D8E" w:rsidP="00CB10B4">
            <w:pPr>
              <w:pStyle w:val="Default"/>
              <w:rPr>
                <w:sz w:val="23"/>
                <w:szCs w:val="23"/>
              </w:rPr>
            </w:pPr>
            <w:r>
              <w:rPr>
                <w:sz w:val="23"/>
                <w:szCs w:val="23"/>
              </w:rPr>
              <w:t>Ongoing</w:t>
            </w:r>
          </w:p>
          <w:p w:rsidR="00FE2AB8" w:rsidP="00CB10B4">
            <w:pPr>
              <w:pStyle w:val="Default"/>
              <w:rPr>
                <w:sz w:val="23"/>
                <w:szCs w:val="23"/>
              </w:rPr>
            </w:pPr>
          </w:p>
          <w:p w:rsidR="00FE2AB8" w:rsidP="00CB10B4">
            <w:pPr>
              <w:pStyle w:val="Default"/>
              <w:rPr>
                <w:sz w:val="23"/>
                <w:szCs w:val="23"/>
              </w:rPr>
            </w:pPr>
          </w:p>
          <w:p w:rsidR="00FE2AB8" w:rsidP="00CB10B4">
            <w:pPr>
              <w:pStyle w:val="Default"/>
              <w:rPr>
                <w:sz w:val="23"/>
                <w:szCs w:val="23"/>
              </w:rPr>
            </w:pPr>
          </w:p>
          <w:p w:rsidR="00FE2AB8" w:rsidRPr="008A3D8E" w:rsidP="00CB10B4">
            <w:pPr>
              <w:pStyle w:val="Default"/>
              <w:rPr>
                <w:sz w:val="23"/>
                <w:szCs w:val="23"/>
              </w:rPr>
            </w:pPr>
            <w:r>
              <w:rPr>
                <w:sz w:val="23"/>
                <w:szCs w:val="23"/>
              </w:rPr>
              <w:t>By March 2022</w:t>
            </w:r>
          </w:p>
        </w:tc>
      </w:tr>
    </w:tbl>
    <w:p w:rsidR="00CB0D55" w:rsidP="00CB0D55"/>
    <w:sectPr w:rsidSect="00262E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627B0A"/>
    <w:multiLevelType w:val="hybridMultilevel"/>
    <w:tmpl w:val="0EC4C0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6041793"/>
    <w:multiLevelType w:val="hybridMultilevel"/>
    <w:tmpl w:val="4EB278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C96C60"/>
    <w:multiLevelType w:val="hybridMultilevel"/>
    <w:tmpl w:val="F6888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6046F3"/>
    <w:multiLevelType w:val="hybridMultilevel"/>
    <w:tmpl w:val="4C34C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AC72254"/>
    <w:multiLevelType w:val="hybridMultilevel"/>
    <w:tmpl w:val="45A8AD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B3770DC"/>
    <w:multiLevelType w:val="hybridMultilevel"/>
    <w:tmpl w:val="00946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D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B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55"/>
    <w:rPr>
      <w:rFonts w:ascii="Segoe UI" w:hAnsi="Segoe UI" w:cs="Segoe UI"/>
      <w:sz w:val="18"/>
      <w:szCs w:val="18"/>
    </w:rPr>
  </w:style>
  <w:style w:type="character" w:styleId="CommentReference">
    <w:name w:val="annotation reference"/>
    <w:basedOn w:val="DefaultParagraphFont"/>
    <w:uiPriority w:val="99"/>
    <w:semiHidden/>
    <w:unhideWhenUsed/>
    <w:rsid w:val="008A3D8E"/>
    <w:rPr>
      <w:sz w:val="16"/>
      <w:szCs w:val="16"/>
    </w:rPr>
  </w:style>
  <w:style w:type="paragraph" w:styleId="CommentText">
    <w:name w:val="annotation text"/>
    <w:basedOn w:val="Normal"/>
    <w:link w:val="CommentTextChar"/>
    <w:uiPriority w:val="99"/>
    <w:semiHidden/>
    <w:unhideWhenUsed/>
    <w:rsid w:val="008A3D8E"/>
    <w:pPr>
      <w:spacing w:line="240" w:lineRule="auto"/>
    </w:pPr>
    <w:rPr>
      <w:sz w:val="20"/>
      <w:szCs w:val="20"/>
    </w:rPr>
  </w:style>
  <w:style w:type="character" w:customStyle="1" w:styleId="CommentTextChar">
    <w:name w:val="Comment Text Char"/>
    <w:basedOn w:val="DefaultParagraphFont"/>
    <w:link w:val="CommentText"/>
    <w:uiPriority w:val="99"/>
    <w:semiHidden/>
    <w:rsid w:val="008A3D8E"/>
    <w:rPr>
      <w:sz w:val="20"/>
      <w:szCs w:val="20"/>
    </w:rPr>
  </w:style>
  <w:style w:type="paragraph" w:styleId="CommentSubject">
    <w:name w:val="annotation subject"/>
    <w:basedOn w:val="CommentText"/>
    <w:next w:val="CommentText"/>
    <w:link w:val="CommentSubjectChar"/>
    <w:uiPriority w:val="99"/>
    <w:semiHidden/>
    <w:unhideWhenUsed/>
    <w:rsid w:val="008A3D8E"/>
    <w:rPr>
      <w:b/>
      <w:bCs/>
    </w:rPr>
  </w:style>
  <w:style w:type="character" w:customStyle="1" w:styleId="CommentSubjectChar">
    <w:name w:val="Comment Subject Char"/>
    <w:basedOn w:val="CommentTextChar"/>
    <w:link w:val="CommentSubject"/>
    <w:uiPriority w:val="99"/>
    <w:semiHidden/>
    <w:rsid w:val="008A3D8E"/>
    <w:rPr>
      <w:b/>
      <w:bCs/>
      <w:sz w:val="20"/>
      <w:szCs w:val="20"/>
    </w:rPr>
  </w:style>
  <w:style w:type="paragraph" w:styleId="ListParagraph">
    <w:name w:val="List Paragraph"/>
    <w:basedOn w:val="Normal"/>
    <w:uiPriority w:val="34"/>
    <w:qFormat/>
    <w:rsid w:val="0033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Willett</dc:creator>
  <cp:lastModifiedBy>Victoria Willett</cp:lastModifiedBy>
  <cp:revision>7</cp:revision>
  <dcterms:created xsi:type="dcterms:W3CDTF">2021-09-23T13:15:00Z</dcterms:created>
  <dcterms:modified xsi:type="dcterms:W3CDTF">2021-09-27T20:10:00Z</dcterms:modified>
</cp:coreProperties>
</file>